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2580"/>
        <w:gridCol w:w="990"/>
        <w:gridCol w:w="1530"/>
        <w:gridCol w:w="240"/>
        <w:gridCol w:w="130"/>
        <w:gridCol w:w="500"/>
        <w:gridCol w:w="1890"/>
        <w:gridCol w:w="120"/>
        <w:gridCol w:w="270"/>
        <w:gridCol w:w="3000"/>
      </w:tblGrid>
      <w:tr w:rsidR="003E1DC1" w:rsidTr="00C92391">
        <w:trPr>
          <w:jc w:val="center"/>
        </w:trPr>
        <w:tc>
          <w:tcPr>
            <w:tcW w:w="2580" w:type="dxa"/>
            <w:tcMar>
              <w:top w:w="14" w:type="dxa"/>
              <w:left w:w="14" w:type="dxa"/>
              <w:bottom w:w="144" w:type="dxa"/>
              <w:right w:w="14" w:type="dxa"/>
            </w:tcMar>
            <w:vAlign w:val="center"/>
            <w:hideMark/>
          </w:tcPr>
          <w:bookmarkStart w:id="0" w:name="_GoBack"/>
          <w:bookmarkEnd w:id="0"/>
          <w:p w:rsidR="003E1DC1" w:rsidRDefault="007D612D">
            <w:pPr>
              <w:jc w:val="center"/>
              <w:rPr>
                <w:u w:val="single"/>
              </w:rPr>
            </w:pPr>
            <w:r>
              <w:rPr>
                <w:sz w:val="20"/>
                <w:szCs w:val="20"/>
                <w:u w:val="single"/>
              </w:rPr>
              <w:fldChar w:fldCharType="begin"/>
            </w:r>
            <w:r>
              <w:rPr>
                <w:sz w:val="20"/>
                <w:szCs w:val="20"/>
                <w:u w:val="single"/>
              </w:rPr>
              <w:instrText xml:space="preserve"> HYPERLINK "Brownie.htm" </w:instrText>
            </w:r>
            <w:r>
              <w:rPr>
                <w:sz w:val="20"/>
                <w:szCs w:val="20"/>
                <w:u w:val="single"/>
              </w:rPr>
              <w:fldChar w:fldCharType="separate"/>
            </w:r>
            <w:r>
              <w:rPr>
                <w:rStyle w:val="Hyperlink"/>
                <w:szCs w:val="20"/>
              </w:rPr>
              <w:t>Back to Brownie page</w:t>
            </w:r>
            <w:r>
              <w:rPr>
                <w:sz w:val="20"/>
                <w:szCs w:val="20"/>
                <w:u w:val="single"/>
              </w:rPr>
              <w:fldChar w:fldCharType="end"/>
            </w:r>
          </w:p>
        </w:tc>
        <w:tc>
          <w:tcPr>
            <w:tcW w:w="2520" w:type="dxa"/>
            <w:gridSpan w:val="2"/>
            <w:tcMar>
              <w:top w:w="14" w:type="dxa"/>
              <w:left w:w="14" w:type="dxa"/>
              <w:bottom w:w="144" w:type="dxa"/>
              <w:right w:w="14" w:type="dxa"/>
            </w:tcMar>
            <w:vAlign w:val="center"/>
            <w:hideMark/>
          </w:tcPr>
          <w:p w:rsidR="003E1DC1" w:rsidRDefault="00C92391">
            <w:pPr>
              <w:jc w:val="center"/>
              <w:rPr>
                <w:u w:val="single"/>
              </w:rPr>
            </w:pPr>
            <w:hyperlink r:id="rId5" w:history="1">
              <w:r w:rsidR="007D612D">
                <w:rPr>
                  <w:rStyle w:val="Hyperlink"/>
                  <w:szCs w:val="20"/>
                </w:rPr>
                <w:t>Back to Junior page</w:t>
              </w:r>
            </w:hyperlink>
          </w:p>
        </w:tc>
        <w:tc>
          <w:tcPr>
            <w:tcW w:w="2760" w:type="dxa"/>
            <w:gridSpan w:val="4"/>
            <w:vAlign w:val="center"/>
            <w:hideMark/>
          </w:tcPr>
          <w:p w:rsidR="003E1DC1" w:rsidRDefault="00C92391">
            <w:pPr>
              <w:jc w:val="center"/>
              <w:rPr>
                <w:b/>
                <w:sz w:val="20"/>
                <w:szCs w:val="20"/>
              </w:rPr>
            </w:pPr>
            <w:hyperlink r:id="rId6" w:history="1">
              <w:r w:rsidR="007D612D">
                <w:rPr>
                  <w:rStyle w:val="Hyperlink"/>
                  <w:szCs w:val="20"/>
                </w:rPr>
                <w:t>Back to Cadette/Senior page</w:t>
              </w:r>
            </w:hyperlink>
          </w:p>
        </w:tc>
        <w:tc>
          <w:tcPr>
            <w:tcW w:w="3390" w:type="dxa"/>
            <w:gridSpan w:val="3"/>
            <w:tcMar>
              <w:top w:w="14" w:type="dxa"/>
              <w:left w:w="14" w:type="dxa"/>
              <w:bottom w:w="144" w:type="dxa"/>
              <w:right w:w="14" w:type="dxa"/>
            </w:tcMar>
            <w:vAlign w:val="center"/>
            <w:hideMark/>
          </w:tcPr>
          <w:p w:rsidR="003E1DC1" w:rsidRDefault="00C92391">
            <w:pPr>
              <w:jc w:val="center"/>
              <w:rPr>
                <w:u w:val="single"/>
              </w:rPr>
            </w:pPr>
            <w:hyperlink r:id="rId7" w:history="1">
              <w:r w:rsidR="007D612D">
                <w:rPr>
                  <w:rStyle w:val="Hyperlink"/>
                  <w:szCs w:val="20"/>
                </w:rPr>
                <w:t xml:space="preserve">Back to </w:t>
              </w:r>
              <w:r w:rsidR="007D612D">
                <w:rPr>
                  <w:rStyle w:val="Hyperlink"/>
                  <w:rFonts w:ascii="Arial Black" w:hAnsi="Arial Black"/>
                  <w:b w:val="0"/>
                  <w:i/>
                  <w:szCs w:val="20"/>
                </w:rPr>
                <w:t>Quilt-It!</w:t>
              </w:r>
              <w:r w:rsidR="007D612D">
                <w:rPr>
                  <w:rStyle w:val="Hyperlink"/>
                  <w:szCs w:val="20"/>
                </w:rPr>
                <w:t xml:space="preserve"> home page</w:t>
              </w:r>
            </w:hyperlink>
          </w:p>
        </w:tc>
      </w:tr>
      <w:tr w:rsidR="003E1DC1" w:rsidTr="00C92391">
        <w:trPr>
          <w:jc w:val="center"/>
        </w:trPr>
        <w:tc>
          <w:tcPr>
            <w:tcW w:w="11250" w:type="dxa"/>
            <w:gridSpan w:val="10"/>
            <w:noWrap/>
            <w:tcMar>
              <w:top w:w="0" w:type="dxa"/>
              <w:left w:w="115" w:type="dxa"/>
              <w:bottom w:w="144" w:type="dxa"/>
              <w:right w:w="115" w:type="dxa"/>
            </w:tcMar>
            <w:vAlign w:val="bottom"/>
            <w:hideMark/>
          </w:tcPr>
          <w:p w:rsidR="003E1DC1" w:rsidRDefault="007D612D">
            <w:pPr>
              <w:jc w:val="center"/>
              <w:rPr>
                <w:sz w:val="20"/>
                <w:szCs w:val="20"/>
              </w:rPr>
            </w:pPr>
            <w:r>
              <w:rPr>
                <w:b/>
                <w:color w:val="008000"/>
                <w:sz w:val="20"/>
                <w:szCs w:val="20"/>
              </w:rPr>
              <w:t xml:space="preserve">If there is no side bar menu, click on </w:t>
            </w:r>
            <w:hyperlink r:id="rId8" w:history="1">
              <w:r>
                <w:rPr>
                  <w:rStyle w:val="Hyperlink"/>
                  <w:szCs w:val="20"/>
                </w:rPr>
                <w:t xml:space="preserve">start </w:t>
              </w:r>
              <w:r>
                <w:rPr>
                  <w:rStyle w:val="Hyperlink"/>
                  <w:rFonts w:ascii="Arial Black" w:hAnsi="Arial Black"/>
                  <w:b w:val="0"/>
                  <w:i/>
                  <w:szCs w:val="20"/>
                </w:rPr>
                <w:t>Quilt-It!</w:t>
              </w:r>
            </w:hyperlink>
          </w:p>
        </w:tc>
      </w:tr>
      <w:tr w:rsidR="003E1DC1" w:rsidTr="00C92391">
        <w:trPr>
          <w:jc w:val="center"/>
        </w:trPr>
        <w:tc>
          <w:tcPr>
            <w:tcW w:w="5470" w:type="dxa"/>
            <w:gridSpan w:val="5"/>
          </w:tcPr>
          <w:p w:rsidR="003E1DC1" w:rsidRDefault="007D612D">
            <w:pPr>
              <w:spacing w:after="120"/>
              <w:rPr>
                <w:rFonts w:ascii="Arial Black" w:hAnsi="Arial Black"/>
                <w:i/>
                <w:color w:val="008000"/>
                <w:sz w:val="36"/>
                <w:szCs w:val="36"/>
              </w:rPr>
            </w:pPr>
            <w:r>
              <w:rPr>
                <w:rFonts w:ascii="Arial Black" w:hAnsi="Arial Black"/>
                <w:i/>
                <w:color w:val="008000"/>
                <w:sz w:val="36"/>
                <w:szCs w:val="36"/>
              </w:rPr>
              <w:t>QUILT-IT!</w:t>
            </w:r>
          </w:p>
          <w:p w:rsidR="003E1DC1" w:rsidRDefault="007D612D">
            <w:pPr>
              <w:spacing w:after="120"/>
              <w:rPr>
                <w:b/>
                <w:sz w:val="32"/>
                <w:szCs w:val="32"/>
              </w:rPr>
            </w:pPr>
            <w:r>
              <w:rPr>
                <w:b/>
                <w:sz w:val="32"/>
                <w:szCs w:val="32"/>
              </w:rPr>
              <w:t>Girl Scout Quilting Badge Work</w:t>
            </w:r>
          </w:p>
          <w:p w:rsidR="003E1DC1" w:rsidRDefault="007D612D">
            <w:pPr>
              <w:rPr>
                <w:b/>
                <w:i/>
                <w:sz w:val="20"/>
                <w:szCs w:val="20"/>
              </w:rPr>
            </w:pPr>
            <w:r>
              <w:rPr>
                <w:b/>
                <w:sz w:val="20"/>
                <w:szCs w:val="20"/>
              </w:rPr>
              <w:t xml:space="preserve">Developed by the </w:t>
            </w:r>
            <w:r>
              <w:rPr>
                <w:b/>
                <w:i/>
                <w:sz w:val="20"/>
                <w:szCs w:val="20"/>
              </w:rPr>
              <w:t>Tucson Quilters Guild</w:t>
            </w:r>
          </w:p>
          <w:p w:rsidR="003E1DC1" w:rsidRDefault="007D612D">
            <w:pPr>
              <w:rPr>
                <w:b/>
                <w:sz w:val="20"/>
                <w:szCs w:val="20"/>
              </w:rPr>
            </w:pPr>
            <w:r>
              <w:rPr>
                <w:b/>
                <w:i/>
                <w:sz w:val="20"/>
                <w:szCs w:val="20"/>
              </w:rPr>
              <w:t xml:space="preserve">          </w:t>
            </w:r>
            <w:r>
              <w:rPr>
                <w:b/>
                <w:sz w:val="20"/>
                <w:szCs w:val="20"/>
              </w:rPr>
              <w:t>Sharon L. Thompson</w:t>
            </w:r>
          </w:p>
          <w:p w:rsidR="003E1DC1" w:rsidRDefault="003E1DC1">
            <w:pPr>
              <w:rPr>
                <w:b/>
                <w:sz w:val="20"/>
                <w:szCs w:val="20"/>
              </w:rPr>
            </w:pPr>
          </w:p>
          <w:p w:rsidR="003E1DC1" w:rsidRDefault="007D612D">
            <w:pPr>
              <w:rPr>
                <w:rFonts w:ascii="Arial Black" w:hAnsi="Arial Black"/>
                <w:i/>
                <w:color w:val="FF0000"/>
                <w:sz w:val="36"/>
                <w:szCs w:val="36"/>
              </w:rPr>
            </w:pPr>
            <w:r>
              <w:rPr>
                <w:rFonts w:ascii="Arial Black" w:hAnsi="Arial Black"/>
                <w:i/>
                <w:color w:val="FF0000"/>
                <w:sz w:val="36"/>
                <w:szCs w:val="36"/>
              </w:rPr>
              <w:t>Leader Support</w:t>
            </w:r>
          </w:p>
          <w:p w:rsidR="003E1DC1" w:rsidRDefault="007D612D">
            <w:pPr>
              <w:rPr>
                <w:rFonts w:ascii="Arial Black" w:hAnsi="Arial Black"/>
                <w:i/>
                <w:color w:val="FF0000"/>
                <w:sz w:val="36"/>
                <w:szCs w:val="36"/>
              </w:rPr>
            </w:pPr>
            <w:r>
              <w:rPr>
                <w:rFonts w:ascii="Arial Black" w:hAnsi="Arial Black"/>
                <w:i/>
                <w:color w:val="FF0000"/>
                <w:sz w:val="36"/>
                <w:szCs w:val="36"/>
              </w:rPr>
              <w:t>and</w:t>
            </w:r>
          </w:p>
          <w:p w:rsidR="003E1DC1" w:rsidRDefault="007D612D">
            <w:pPr>
              <w:rPr>
                <w:rFonts w:ascii="Arial Black" w:hAnsi="Arial Black"/>
                <w:i/>
                <w:color w:val="FF0000"/>
                <w:sz w:val="28"/>
                <w:szCs w:val="28"/>
              </w:rPr>
            </w:pPr>
            <w:r>
              <w:rPr>
                <w:rFonts w:ascii="Arial Black" w:hAnsi="Arial Black"/>
                <w:i/>
                <w:color w:val="FF0000"/>
                <w:sz w:val="36"/>
                <w:szCs w:val="36"/>
              </w:rPr>
              <w:t>Resources</w:t>
            </w:r>
          </w:p>
        </w:tc>
        <w:tc>
          <w:tcPr>
            <w:tcW w:w="5780" w:type="dxa"/>
            <w:gridSpan w:val="5"/>
            <w:tcMar>
              <w:top w:w="0" w:type="dxa"/>
              <w:left w:w="0" w:type="dxa"/>
              <w:bottom w:w="0" w:type="dxa"/>
              <w:right w:w="0" w:type="dxa"/>
            </w:tcMar>
            <w:hideMark/>
          </w:tcPr>
          <w:p w:rsidR="003E1DC1" w:rsidRDefault="007D612D">
            <w:pPr>
              <w:jc w:val="center"/>
            </w:pPr>
            <w:r>
              <w:rPr>
                <w:noProof/>
              </w:rPr>
              <w:drawing>
                <wp:inline distT="0" distB="0" distL="0" distR="0" wp14:anchorId="561FE0D6" wp14:editId="2001564C">
                  <wp:extent cx="2562225" cy="2047875"/>
                  <wp:effectExtent l="19050" t="0" r="9525" b="0"/>
                  <wp:docPr id="1" name="Picture 1" descr="BrownieHelp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ieHelperWeb"/>
                          <pic:cNvPicPr>
                            <a:picLocks noChangeAspect="1" noChangeArrowheads="1"/>
                          </pic:cNvPicPr>
                        </pic:nvPicPr>
                        <pic:blipFill>
                          <a:blip r:embed="rId9"/>
                          <a:srcRect/>
                          <a:stretch>
                            <a:fillRect/>
                          </a:stretch>
                        </pic:blipFill>
                        <pic:spPr bwMode="auto">
                          <a:xfrm>
                            <a:off x="0" y="0"/>
                            <a:ext cx="2562225" cy="2047875"/>
                          </a:xfrm>
                          <a:prstGeom prst="rect">
                            <a:avLst/>
                          </a:prstGeom>
                          <a:noFill/>
                          <a:ln w="9525">
                            <a:noFill/>
                            <a:miter lim="800000"/>
                            <a:headEnd/>
                            <a:tailEnd/>
                          </a:ln>
                        </pic:spPr>
                      </pic:pic>
                    </a:graphicData>
                  </a:graphic>
                </wp:inline>
              </w:drawing>
            </w:r>
          </w:p>
        </w:tc>
      </w:tr>
      <w:tr w:rsidR="003E1DC1" w:rsidTr="00C92391">
        <w:trPr>
          <w:trHeight w:val="5240"/>
          <w:jc w:val="center"/>
        </w:trPr>
        <w:tc>
          <w:tcPr>
            <w:tcW w:w="11250" w:type="dxa"/>
            <w:gridSpan w:val="10"/>
          </w:tcPr>
          <w:p w:rsidR="003E1DC1" w:rsidRDefault="003E1DC1">
            <w:pPr>
              <w:spacing w:after="120"/>
              <w:rPr>
                <w:b/>
                <w:sz w:val="12"/>
                <w:szCs w:val="12"/>
              </w:rPr>
            </w:pPr>
          </w:p>
          <w:p w:rsidR="003E1DC1" w:rsidRDefault="007D612D">
            <w:pPr>
              <w:spacing w:after="120"/>
              <w:rPr>
                <w:b/>
                <w:sz w:val="20"/>
                <w:szCs w:val="20"/>
              </w:rPr>
            </w:pPr>
            <w:r>
              <w:rPr>
                <w:b/>
                <w:sz w:val="20"/>
                <w:szCs w:val="20"/>
              </w:rPr>
              <w:t xml:space="preserve">          Quilting has existed since Egyptian times.  Once a utilitarian skill, modern quilting now combines utility with art.  The </w:t>
            </w:r>
            <w:r>
              <w:rPr>
                <w:rFonts w:ascii="Arial Black" w:hAnsi="Arial Black"/>
                <w:i/>
                <w:sz w:val="20"/>
                <w:szCs w:val="20"/>
              </w:rPr>
              <w:t>Quilt-It!</w:t>
            </w:r>
            <w:r>
              <w:rPr>
                <w:b/>
                <w:sz w:val="20"/>
                <w:szCs w:val="20"/>
              </w:rPr>
              <w:t xml:space="preserve"> projects are simple, but effective ways for girls to learn basic quilting skills.</w:t>
            </w:r>
          </w:p>
          <w:p w:rsidR="003E1DC1" w:rsidRDefault="007D612D">
            <w:pPr>
              <w:spacing w:after="120"/>
              <w:rPr>
                <w:b/>
                <w:sz w:val="20"/>
                <w:szCs w:val="20"/>
              </w:rPr>
            </w:pPr>
            <w:r>
              <w:rPr>
                <w:b/>
                <w:sz w:val="20"/>
                <w:szCs w:val="20"/>
              </w:rPr>
              <w:t xml:space="preserve">          </w:t>
            </w:r>
            <w:r>
              <w:rPr>
                <w:rFonts w:ascii="Arial Black" w:hAnsi="Arial Black"/>
                <w:i/>
                <w:sz w:val="20"/>
                <w:szCs w:val="20"/>
              </w:rPr>
              <w:t>Quit-It!</w:t>
            </w:r>
            <w:r>
              <w:rPr>
                <w:b/>
                <w:sz w:val="20"/>
                <w:szCs w:val="20"/>
              </w:rPr>
              <w:t xml:space="preserve">  can be enjoyed by a wide variety of troops.  However, extra individual attention may be required by beginning Brownies or Juniors, or by those with low motivation.  </w:t>
            </w:r>
            <w:r>
              <w:rPr>
                <w:b/>
                <w:i/>
                <w:color w:val="FF0000"/>
                <w:sz w:val="20"/>
                <w:szCs w:val="20"/>
              </w:rPr>
              <w:t>All troops will find it very useful to have leaders and helpers available for individual assistance.</w:t>
            </w:r>
          </w:p>
          <w:p w:rsidR="003E1DC1" w:rsidRDefault="007D612D">
            <w:pPr>
              <w:spacing w:after="120"/>
              <w:rPr>
                <w:b/>
                <w:sz w:val="20"/>
                <w:szCs w:val="20"/>
              </w:rPr>
            </w:pPr>
            <w:r>
              <w:rPr>
                <w:b/>
                <w:sz w:val="20"/>
                <w:szCs w:val="20"/>
              </w:rPr>
              <w:t xml:space="preserve">          It is important that the girls and those who are working with them follow the same steps and use the same terminology.  This is best accomplished by downloading the complete, illustrated project directions and having printed copies distributed around the work area.   Links to the directions, in either </w:t>
            </w:r>
            <w:r>
              <w:rPr>
                <w:b/>
                <w:i/>
                <w:sz w:val="20"/>
                <w:szCs w:val="20"/>
              </w:rPr>
              <w:t>Microsoft Word</w:t>
            </w:r>
            <w:r>
              <w:rPr>
                <w:b/>
                <w:sz w:val="20"/>
                <w:szCs w:val="20"/>
              </w:rPr>
              <w:t xml:space="preserve"> documents or </w:t>
            </w:r>
            <w:r>
              <w:rPr>
                <w:b/>
                <w:i/>
                <w:sz w:val="20"/>
                <w:szCs w:val="20"/>
              </w:rPr>
              <w:t>pdf</w:t>
            </w:r>
            <w:r>
              <w:rPr>
                <w:b/>
                <w:sz w:val="20"/>
                <w:szCs w:val="20"/>
              </w:rPr>
              <w:t xml:space="preserve"> files, can be found on the individual project pages for each level.</w:t>
            </w:r>
          </w:p>
          <w:p w:rsidR="003E1DC1" w:rsidRDefault="007D612D">
            <w:pPr>
              <w:rPr>
                <w:b/>
                <w:sz w:val="20"/>
                <w:szCs w:val="20"/>
              </w:rPr>
            </w:pPr>
            <w:r>
              <w:rPr>
                <w:b/>
                <w:sz w:val="20"/>
                <w:szCs w:val="20"/>
              </w:rPr>
              <w:t xml:space="preserve">          </w:t>
            </w:r>
            <w:r>
              <w:rPr>
                <w:b/>
                <w:i/>
                <w:color w:val="FF0000"/>
                <w:sz w:val="20"/>
                <w:szCs w:val="20"/>
              </w:rPr>
              <w:t>Cadette/Seniors</w:t>
            </w:r>
            <w:r>
              <w:rPr>
                <w:b/>
                <w:sz w:val="20"/>
                <w:szCs w:val="20"/>
              </w:rPr>
              <w:t xml:space="preserve"> should be encouraged to find quilting magazines and books at bookstores, quilt shops, and libraries.  The Internet has several quilting sites that offer free instruction.</w:t>
            </w:r>
          </w:p>
          <w:p w:rsidR="003E1DC1" w:rsidRDefault="003E1DC1">
            <w:pPr>
              <w:rPr>
                <w:b/>
                <w:sz w:val="20"/>
                <w:szCs w:val="20"/>
              </w:rPr>
            </w:pPr>
          </w:p>
          <w:p w:rsidR="003E1DC1" w:rsidRDefault="007D612D">
            <w:pPr>
              <w:spacing w:after="120"/>
              <w:rPr>
                <w:rFonts w:ascii="Arial Black" w:hAnsi="Arial Black"/>
                <w:b/>
                <w:i/>
                <w:color w:val="FF0000"/>
              </w:rPr>
            </w:pPr>
            <w:r>
              <w:rPr>
                <w:rFonts w:ascii="Arial Black" w:hAnsi="Arial Black"/>
                <w:b/>
                <w:i/>
                <w:color w:val="FF0000"/>
              </w:rPr>
              <w:t>Finding Help and Supplies</w:t>
            </w:r>
          </w:p>
          <w:p w:rsidR="003E1DC1" w:rsidRDefault="007D612D">
            <w:pPr>
              <w:spacing w:after="120"/>
              <w:rPr>
                <w:b/>
                <w:sz w:val="20"/>
                <w:szCs w:val="20"/>
              </w:rPr>
            </w:pPr>
            <w:r>
              <w:rPr>
                <w:b/>
                <w:sz w:val="20"/>
                <w:szCs w:val="20"/>
              </w:rPr>
              <w:t xml:space="preserve">          There are several resources that can be used to locate donations of quilting supplies, information about quilting, and volunteers with quilting expertise. </w:t>
            </w:r>
          </w:p>
          <w:p w:rsidR="003E1DC1" w:rsidRDefault="007D612D">
            <w:pPr>
              <w:spacing w:after="120"/>
              <w:rPr>
                <w:b/>
                <w:sz w:val="20"/>
                <w:szCs w:val="20"/>
              </w:rPr>
            </w:pPr>
            <w:r>
              <w:rPr>
                <w:b/>
                <w:i/>
                <w:color w:val="FF0000"/>
              </w:rPr>
              <w:tab/>
            </w:r>
            <w:r>
              <w:rPr>
                <w:b/>
                <w:color w:val="FF0000"/>
                <w:sz w:val="28"/>
                <w:szCs w:val="28"/>
              </w:rPr>
              <w:t>♦</w:t>
            </w:r>
            <w:r>
              <w:rPr>
                <w:b/>
                <w:i/>
                <w:color w:val="FF0000"/>
              </w:rPr>
              <w:t xml:space="preserve">  The Sahuaro Girl Scout Council.</w:t>
            </w:r>
            <w:r>
              <w:rPr>
                <w:b/>
                <w:sz w:val="20"/>
                <w:szCs w:val="20"/>
              </w:rPr>
              <w:t xml:space="preserve">  Visit their web site.  </w:t>
            </w:r>
            <w:hyperlink r:id="rId10" w:history="1">
              <w:r>
                <w:rPr>
                  <w:rStyle w:val="Hyperlink"/>
                  <w:szCs w:val="20"/>
                </w:rPr>
                <w:t>http://</w:t>
              </w:r>
              <w:proofErr w:type="spellStart"/>
              <w:r>
                <w:rPr>
                  <w:rStyle w:val="Hyperlink"/>
                  <w:szCs w:val="20"/>
                </w:rPr>
                <w:t>www.sahuarogsc.org</w:t>
              </w:r>
              <w:proofErr w:type="spellEnd"/>
            </w:hyperlink>
          </w:p>
          <w:p w:rsidR="003E1DC1" w:rsidRDefault="007D612D">
            <w:pPr>
              <w:spacing w:after="120"/>
              <w:rPr>
                <w:b/>
                <w:sz w:val="20"/>
                <w:szCs w:val="20"/>
              </w:rPr>
            </w:pPr>
            <w:r>
              <w:rPr>
                <w:b/>
                <w:i/>
                <w:color w:val="FF0000"/>
              </w:rPr>
              <w:tab/>
            </w:r>
            <w:r>
              <w:rPr>
                <w:b/>
                <w:color w:val="FF0000"/>
                <w:sz w:val="28"/>
                <w:szCs w:val="28"/>
              </w:rPr>
              <w:t>♦</w:t>
            </w:r>
            <w:r>
              <w:rPr>
                <w:b/>
                <w:i/>
                <w:color w:val="FF0000"/>
              </w:rPr>
              <w:t xml:space="preserve">  Quilt shops in your area.</w:t>
            </w:r>
            <w:r>
              <w:rPr>
                <w:b/>
                <w:sz w:val="20"/>
                <w:szCs w:val="20"/>
              </w:rPr>
              <w:t xml:space="preserve">  Leaders of troops in southern Arizona can contact any of the following shops.   Tucson:  Bella Quiltworks, Cactus Quilt Shop, Catalina Quilting, The Quilt Basket, Quilter's Market.  Green Valley:  Hearts and Hands.  Sahuarita:   Quilters Desert Patch.  Sierra Vista:  The Squirrel's Nest, Thimbleweed Quilts.</w:t>
            </w:r>
          </w:p>
          <w:p w:rsidR="003E1DC1" w:rsidRDefault="007D612D">
            <w:pPr>
              <w:spacing w:after="120"/>
              <w:rPr>
                <w:b/>
                <w:sz w:val="20"/>
                <w:szCs w:val="20"/>
              </w:rPr>
            </w:pPr>
            <w:r>
              <w:rPr>
                <w:b/>
                <w:i/>
                <w:color w:val="FF0000"/>
              </w:rPr>
              <w:tab/>
            </w:r>
            <w:r>
              <w:rPr>
                <w:b/>
                <w:color w:val="FF0000"/>
                <w:sz w:val="28"/>
                <w:szCs w:val="28"/>
              </w:rPr>
              <w:t>♦</w:t>
            </w:r>
            <w:r>
              <w:rPr>
                <w:b/>
                <w:i/>
                <w:color w:val="FF0000"/>
              </w:rPr>
              <w:t xml:space="preserve">  Quilter's guilds and other organized groups of quilters.</w:t>
            </w:r>
            <w:r>
              <w:rPr>
                <w:b/>
                <w:sz w:val="20"/>
                <w:szCs w:val="20"/>
              </w:rPr>
              <w:t xml:space="preserve">  These can be located by inquiring at local quilt shops or by visiting </w:t>
            </w:r>
            <w:hyperlink r:id="rId11" w:history="1">
              <w:r>
                <w:rPr>
                  <w:rStyle w:val="Hyperlink"/>
                  <w:szCs w:val="20"/>
                </w:rPr>
                <w:t>http://</w:t>
              </w:r>
              <w:proofErr w:type="spellStart"/>
              <w:r>
                <w:rPr>
                  <w:rStyle w:val="Hyperlink"/>
                  <w:szCs w:val="20"/>
                </w:rPr>
                <w:t>www.quiltguilds.com</w:t>
              </w:r>
              <w:proofErr w:type="spellEnd"/>
            </w:hyperlink>
            <w:r>
              <w:rPr>
                <w:b/>
                <w:sz w:val="20"/>
                <w:szCs w:val="20"/>
              </w:rPr>
              <w:t xml:space="preserve">.  Leaders of troops in the Tucson, Arizona area can contact the Tucson Quilters Guild at </w:t>
            </w:r>
            <w:hyperlink r:id="rId12" w:history="1">
              <w:r>
                <w:rPr>
                  <w:rStyle w:val="Hyperlink"/>
                  <w:szCs w:val="20"/>
                </w:rPr>
                <w:t>http://</w:t>
              </w:r>
              <w:proofErr w:type="spellStart"/>
              <w:r>
                <w:rPr>
                  <w:rStyle w:val="Hyperlink"/>
                  <w:szCs w:val="20"/>
                </w:rPr>
                <w:t>tucsonquiltersguild.com</w:t>
              </w:r>
              <w:proofErr w:type="spellEnd"/>
            </w:hyperlink>
            <w:r>
              <w:rPr>
                <w:b/>
                <w:sz w:val="20"/>
                <w:szCs w:val="20"/>
              </w:rPr>
              <w:t>.</w:t>
            </w:r>
          </w:p>
          <w:p w:rsidR="003E1DC1" w:rsidRDefault="007D612D">
            <w:pPr>
              <w:spacing w:after="120"/>
              <w:rPr>
                <w:rStyle w:val="Hyperlink"/>
                <w:szCs w:val="20"/>
              </w:rPr>
            </w:pPr>
            <w:r>
              <w:rPr>
                <w:b/>
                <w:i/>
                <w:color w:val="FF0000"/>
              </w:rPr>
              <w:tab/>
            </w:r>
            <w:r>
              <w:rPr>
                <w:b/>
                <w:color w:val="FF0000"/>
                <w:sz w:val="28"/>
                <w:szCs w:val="28"/>
              </w:rPr>
              <w:t>♦</w:t>
            </w:r>
            <w:r>
              <w:rPr>
                <w:b/>
                <w:i/>
                <w:color w:val="FF0000"/>
              </w:rPr>
              <w:t xml:space="preserve">  The internet.</w:t>
            </w:r>
            <w:r>
              <w:rPr>
                <w:b/>
                <w:sz w:val="20"/>
                <w:szCs w:val="20"/>
              </w:rPr>
              <w:t xml:space="preserve">  </w:t>
            </w:r>
            <w:hyperlink r:id="rId13" w:history="1">
              <w:r>
                <w:rPr>
                  <w:rStyle w:val="Hyperlink"/>
                  <w:szCs w:val="20"/>
                </w:rPr>
                <w:t>http://</w:t>
              </w:r>
              <w:proofErr w:type="spellStart"/>
              <w:r>
                <w:rPr>
                  <w:rStyle w:val="Hyperlink"/>
                  <w:szCs w:val="20"/>
                </w:rPr>
                <w:t>www.womenfolk.com</w:t>
              </w:r>
              <w:proofErr w:type="spellEnd"/>
              <w:r>
                <w:rPr>
                  <w:rStyle w:val="Hyperlink"/>
                  <w:szCs w:val="20"/>
                </w:rPr>
                <w:t>/</w:t>
              </w:r>
              <w:proofErr w:type="spellStart"/>
              <w:r>
                <w:rPr>
                  <w:rStyle w:val="Hyperlink"/>
                  <w:szCs w:val="20"/>
                </w:rPr>
                <w:t>historyofquilts</w:t>
              </w:r>
              <w:proofErr w:type="spellEnd"/>
            </w:hyperlink>
          </w:p>
          <w:p w:rsidR="00C92391" w:rsidRDefault="00C92391">
            <w:pPr>
              <w:spacing w:after="120"/>
              <w:rPr>
                <w:b/>
                <w:sz w:val="20"/>
                <w:szCs w:val="20"/>
              </w:rPr>
            </w:pPr>
            <w:r>
              <w:rPr>
                <w:b/>
                <w:sz w:val="20"/>
                <w:szCs w:val="20"/>
              </w:rPr>
              <w:t xml:space="preserve">                                                 </w:t>
            </w:r>
            <w:hyperlink r:id="rId14" w:history="1">
              <w:r w:rsidRPr="00C92391">
                <w:rPr>
                  <w:rStyle w:val="Hyperlink"/>
                  <w:szCs w:val="20"/>
                </w:rPr>
                <w:t>http://www.mycoupons.com/store/a-guide-for-quilting-fanatics-resources-and-more</w:t>
              </w:r>
            </w:hyperlink>
          </w:p>
        </w:tc>
      </w:tr>
      <w:tr w:rsidR="003E1DC1" w:rsidTr="00C92391">
        <w:trPr>
          <w:trHeight w:val="2358"/>
          <w:jc w:val="center"/>
        </w:trPr>
        <w:tc>
          <w:tcPr>
            <w:tcW w:w="3570" w:type="dxa"/>
            <w:gridSpan w:val="2"/>
            <w:hideMark/>
          </w:tcPr>
          <w:p w:rsidR="003E1DC1" w:rsidRDefault="007D612D">
            <w:pPr>
              <w:spacing w:after="120"/>
              <w:jc w:val="center"/>
              <w:rPr>
                <w:b/>
                <w:sz w:val="20"/>
                <w:szCs w:val="20"/>
              </w:rPr>
            </w:pPr>
            <w:r>
              <w:rPr>
                <w:noProof/>
              </w:rPr>
              <w:drawing>
                <wp:inline distT="0" distB="0" distL="0" distR="0" wp14:anchorId="378EEC6A" wp14:editId="011071D5">
                  <wp:extent cx="1790700" cy="1466850"/>
                  <wp:effectExtent l="19050" t="0" r="0" b="0"/>
                  <wp:docPr id="2" name="Picture 2" descr="KlutzBoo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utzBookWeb"/>
                          <pic:cNvPicPr>
                            <a:picLocks noChangeAspect="1" noChangeArrowheads="1"/>
                          </pic:cNvPicPr>
                        </pic:nvPicPr>
                        <pic:blipFill>
                          <a:blip r:embed="rId15"/>
                          <a:srcRect/>
                          <a:stretch>
                            <a:fillRect/>
                          </a:stretch>
                        </pic:blipFill>
                        <pic:spPr bwMode="auto">
                          <a:xfrm>
                            <a:off x="0" y="0"/>
                            <a:ext cx="1790700" cy="1466850"/>
                          </a:xfrm>
                          <a:prstGeom prst="rect">
                            <a:avLst/>
                          </a:prstGeom>
                          <a:noFill/>
                          <a:ln w="9525">
                            <a:noFill/>
                            <a:miter lim="800000"/>
                            <a:headEnd/>
                            <a:tailEnd/>
                          </a:ln>
                        </pic:spPr>
                      </pic:pic>
                    </a:graphicData>
                  </a:graphic>
                </wp:inline>
              </w:drawing>
            </w:r>
          </w:p>
        </w:tc>
        <w:tc>
          <w:tcPr>
            <w:tcW w:w="4680" w:type="dxa"/>
            <w:gridSpan w:val="7"/>
            <w:tcMar>
              <w:top w:w="72" w:type="dxa"/>
              <w:left w:w="115" w:type="dxa"/>
              <w:bottom w:w="0" w:type="dxa"/>
              <w:right w:w="115" w:type="dxa"/>
            </w:tcMar>
            <w:hideMark/>
          </w:tcPr>
          <w:p w:rsidR="003E1DC1" w:rsidRDefault="007D612D">
            <w:pPr>
              <w:spacing w:after="120"/>
              <w:rPr>
                <w:b/>
                <w:sz w:val="20"/>
                <w:szCs w:val="20"/>
              </w:rPr>
            </w:pPr>
            <w:r>
              <w:rPr>
                <w:b/>
                <w:sz w:val="20"/>
                <w:szCs w:val="20"/>
              </w:rPr>
              <w:t xml:space="preserve">          The following books may be of interest.  Others might be found at your local library.</w:t>
            </w:r>
          </w:p>
          <w:p w:rsidR="003E1DC1" w:rsidRDefault="007D612D">
            <w:pPr>
              <w:spacing w:after="120"/>
              <w:rPr>
                <w:b/>
                <w:color w:val="FF0000"/>
                <w:sz w:val="20"/>
                <w:szCs w:val="20"/>
              </w:rPr>
            </w:pPr>
            <w:r>
              <w:rPr>
                <w:b/>
                <w:i/>
                <w:color w:val="FF0000"/>
              </w:rPr>
              <w:tab/>
            </w:r>
            <w:r>
              <w:rPr>
                <w:b/>
                <w:color w:val="FF0000"/>
                <w:sz w:val="28"/>
                <w:szCs w:val="28"/>
              </w:rPr>
              <w:t>♦</w:t>
            </w:r>
            <w:r>
              <w:rPr>
                <w:b/>
                <w:i/>
                <w:color w:val="FF0000"/>
              </w:rPr>
              <w:t xml:space="preserve">  The Klutz Book, Quilting,</w:t>
            </w:r>
            <w:r>
              <w:rPr>
                <w:b/>
                <w:sz w:val="20"/>
                <w:szCs w:val="20"/>
              </w:rPr>
              <w:t xml:space="preserve"> by Barbara Kane, ISBN 1-57054-215-5.  This book has excellent illustrations and additional quilting projects.</w:t>
            </w:r>
          </w:p>
          <w:p w:rsidR="003E1DC1" w:rsidRDefault="007D612D">
            <w:pPr>
              <w:spacing w:after="120"/>
              <w:rPr>
                <w:b/>
                <w:sz w:val="20"/>
                <w:szCs w:val="20"/>
              </w:rPr>
            </w:pPr>
            <w:r>
              <w:rPr>
                <w:b/>
                <w:i/>
                <w:color w:val="FF0000"/>
              </w:rPr>
              <w:tab/>
            </w:r>
            <w:r>
              <w:rPr>
                <w:b/>
                <w:color w:val="FF0000"/>
                <w:sz w:val="28"/>
                <w:szCs w:val="28"/>
              </w:rPr>
              <w:t>♦</w:t>
            </w:r>
            <w:r>
              <w:rPr>
                <w:b/>
                <w:i/>
                <w:color w:val="FF0000"/>
              </w:rPr>
              <w:t xml:space="preserve">  The Quilt-Block History of Pioneer Days,</w:t>
            </w:r>
            <w:r>
              <w:rPr>
                <w:b/>
                <w:sz w:val="20"/>
                <w:szCs w:val="20"/>
              </w:rPr>
              <w:t xml:space="preserve"> by Mary Cobb, ISBN 1-56294-692-7.</w:t>
            </w:r>
          </w:p>
        </w:tc>
        <w:tc>
          <w:tcPr>
            <w:tcW w:w="3000" w:type="dxa"/>
            <w:hideMark/>
          </w:tcPr>
          <w:p w:rsidR="003E1DC1" w:rsidRDefault="007D612D">
            <w:pPr>
              <w:spacing w:after="120"/>
              <w:jc w:val="center"/>
              <w:rPr>
                <w:b/>
                <w:sz w:val="20"/>
                <w:szCs w:val="20"/>
              </w:rPr>
            </w:pPr>
            <w:r>
              <w:rPr>
                <w:noProof/>
              </w:rPr>
              <w:drawing>
                <wp:inline distT="0" distB="0" distL="0" distR="0" wp14:anchorId="6EEBAB41" wp14:editId="6215C344">
                  <wp:extent cx="1314450" cy="1466850"/>
                  <wp:effectExtent l="19050" t="0" r="0" b="0"/>
                  <wp:docPr id="3" name="Picture 3" descr="HistoryBoo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BookWeb"/>
                          <pic:cNvPicPr>
                            <a:picLocks noChangeAspect="1" noChangeArrowheads="1"/>
                          </pic:cNvPicPr>
                        </pic:nvPicPr>
                        <pic:blipFill>
                          <a:blip r:embed="rId16"/>
                          <a:srcRect/>
                          <a:stretch>
                            <a:fillRect/>
                          </a:stretch>
                        </pic:blipFill>
                        <pic:spPr bwMode="auto">
                          <a:xfrm>
                            <a:off x="0" y="0"/>
                            <a:ext cx="1314450" cy="1466850"/>
                          </a:xfrm>
                          <a:prstGeom prst="rect">
                            <a:avLst/>
                          </a:prstGeom>
                          <a:noFill/>
                          <a:ln w="9525">
                            <a:noFill/>
                            <a:miter lim="800000"/>
                            <a:headEnd/>
                            <a:tailEnd/>
                          </a:ln>
                        </pic:spPr>
                      </pic:pic>
                    </a:graphicData>
                  </a:graphic>
                </wp:inline>
              </w:drawing>
            </w:r>
          </w:p>
        </w:tc>
      </w:tr>
      <w:tr w:rsidR="003E1DC1" w:rsidTr="00C92391">
        <w:trPr>
          <w:trHeight w:val="3150"/>
          <w:jc w:val="center"/>
        </w:trPr>
        <w:tc>
          <w:tcPr>
            <w:tcW w:w="5970" w:type="dxa"/>
            <w:gridSpan w:val="6"/>
            <w:hideMark/>
          </w:tcPr>
          <w:p w:rsidR="003E1DC1" w:rsidRDefault="007D612D">
            <w:pPr>
              <w:spacing w:after="120"/>
              <w:rPr>
                <w:rFonts w:ascii="Arial Black" w:hAnsi="Arial Black"/>
                <w:b/>
                <w:i/>
                <w:color w:val="FF0000"/>
              </w:rPr>
            </w:pPr>
            <w:r>
              <w:rPr>
                <w:rFonts w:ascii="Arial Black" w:hAnsi="Arial Black"/>
                <w:b/>
                <w:i/>
                <w:color w:val="FF0000"/>
              </w:rPr>
              <w:t>Project Modifications</w:t>
            </w:r>
          </w:p>
          <w:p w:rsidR="003E1DC1" w:rsidRDefault="007D612D">
            <w:pPr>
              <w:spacing w:after="120"/>
              <w:rPr>
                <w:b/>
                <w:sz w:val="20"/>
                <w:szCs w:val="20"/>
              </w:rPr>
            </w:pPr>
            <w:r>
              <w:rPr>
                <w:sz w:val="20"/>
                <w:szCs w:val="20"/>
              </w:rPr>
              <w:t xml:space="preserve">          </w:t>
            </w:r>
            <w:r>
              <w:rPr>
                <w:b/>
                <w:sz w:val="20"/>
                <w:szCs w:val="20"/>
              </w:rPr>
              <w:t xml:space="preserve">Time constraints or the experience level of the girls may require some adjustments in the projects.  This is completely appropriate, </w:t>
            </w:r>
            <w:r>
              <w:rPr>
                <w:b/>
                <w:i/>
                <w:color w:val="FF0000"/>
                <w:sz w:val="20"/>
                <w:szCs w:val="20"/>
              </w:rPr>
              <w:t>as long as the basic Try-It, Badge, or Interest Project requirements are still satisfied</w:t>
            </w:r>
            <w:r>
              <w:rPr>
                <w:b/>
                <w:sz w:val="20"/>
                <w:szCs w:val="20"/>
              </w:rPr>
              <w:t>.</w:t>
            </w:r>
          </w:p>
          <w:p w:rsidR="003E1DC1" w:rsidRDefault="007D612D">
            <w:pPr>
              <w:spacing w:after="120"/>
              <w:rPr>
                <w:b/>
                <w:sz w:val="20"/>
                <w:szCs w:val="20"/>
              </w:rPr>
            </w:pPr>
            <w:r>
              <w:rPr>
                <w:b/>
                <w:sz w:val="20"/>
                <w:szCs w:val="20"/>
              </w:rPr>
              <w:t xml:space="preserve">          </w:t>
            </w:r>
            <w:r>
              <w:rPr>
                <w:rFonts w:ascii="Arial Black" w:hAnsi="Arial Black"/>
                <w:color w:val="FF0000"/>
                <w:sz w:val="20"/>
                <w:szCs w:val="20"/>
                <w:u w:val="single"/>
              </w:rPr>
              <w:t>Brownies.</w:t>
            </w:r>
            <w:r>
              <w:rPr>
                <w:b/>
                <w:sz w:val="20"/>
                <w:szCs w:val="20"/>
              </w:rPr>
              <w:t xml:space="preserve">  One possible modification of the Brownie Try-It would be for the leader or helpers to precut the fabric pieces and then draw the seam and quilting lines.   This would involve drawing seam lines 1/4 inch in from the edges on the wrong sides of all four quit top blocks and the quilt backing.  Diagonal lines would also be drawn on the right sides of the quilt top blocks.   Some of these will serve a quilting lines and others will be used to locate the center of the blocks for quilt tying.</w:t>
            </w:r>
          </w:p>
        </w:tc>
        <w:tc>
          <w:tcPr>
            <w:tcW w:w="5280" w:type="dxa"/>
            <w:gridSpan w:val="4"/>
            <w:tcMar>
              <w:top w:w="0" w:type="dxa"/>
              <w:left w:w="0" w:type="dxa"/>
              <w:bottom w:w="0" w:type="dxa"/>
              <w:right w:w="115" w:type="dxa"/>
            </w:tcMar>
            <w:vAlign w:val="center"/>
            <w:hideMark/>
          </w:tcPr>
          <w:p w:rsidR="003E1DC1" w:rsidRDefault="007D612D">
            <w:pPr>
              <w:spacing w:after="120"/>
              <w:jc w:val="center"/>
              <w:rPr>
                <w:b/>
                <w:sz w:val="20"/>
                <w:szCs w:val="20"/>
              </w:rPr>
            </w:pPr>
            <w:r>
              <w:rPr>
                <w:noProof/>
              </w:rPr>
              <w:drawing>
                <wp:inline distT="0" distB="0" distL="0" distR="0" wp14:anchorId="3481C209" wp14:editId="70FDAE9B">
                  <wp:extent cx="3095625" cy="1447800"/>
                  <wp:effectExtent l="19050" t="0" r="9525" b="0"/>
                  <wp:docPr id="4" name="Picture 4" descr="Top Blocks All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Blocks All Lines"/>
                          <pic:cNvPicPr>
                            <a:picLocks noChangeAspect="1" noChangeArrowheads="1"/>
                          </pic:cNvPicPr>
                        </pic:nvPicPr>
                        <pic:blipFill>
                          <a:blip r:embed="rId17" cstate="print">
                            <a:clrChange>
                              <a:clrFrom>
                                <a:srgbClr val="E601F4"/>
                              </a:clrFrom>
                              <a:clrTo>
                                <a:srgbClr val="E601F4">
                                  <a:alpha val="0"/>
                                </a:srgbClr>
                              </a:clrTo>
                            </a:clrChange>
                          </a:blip>
                          <a:srcRect/>
                          <a:stretch>
                            <a:fillRect/>
                          </a:stretch>
                        </pic:blipFill>
                        <pic:spPr bwMode="auto">
                          <a:xfrm>
                            <a:off x="0" y="0"/>
                            <a:ext cx="3095625" cy="1447800"/>
                          </a:xfrm>
                          <a:prstGeom prst="rect">
                            <a:avLst/>
                          </a:prstGeom>
                          <a:noFill/>
                          <a:ln w="9525">
                            <a:noFill/>
                            <a:miter lim="800000"/>
                            <a:headEnd/>
                            <a:tailEnd/>
                          </a:ln>
                        </pic:spPr>
                      </pic:pic>
                    </a:graphicData>
                  </a:graphic>
                </wp:inline>
              </w:drawing>
            </w:r>
          </w:p>
        </w:tc>
      </w:tr>
      <w:tr w:rsidR="003E1DC1" w:rsidTr="00C92391">
        <w:trPr>
          <w:trHeight w:val="3060"/>
          <w:jc w:val="center"/>
        </w:trPr>
        <w:tc>
          <w:tcPr>
            <w:tcW w:w="5970" w:type="dxa"/>
            <w:gridSpan w:val="6"/>
            <w:hideMark/>
          </w:tcPr>
          <w:p w:rsidR="003E1DC1" w:rsidRDefault="007D612D">
            <w:pPr>
              <w:spacing w:after="120"/>
              <w:jc w:val="center"/>
            </w:pPr>
            <w:r>
              <w:rPr>
                <w:noProof/>
              </w:rPr>
              <w:drawing>
                <wp:inline distT="0" distB="0" distL="0" distR="0" wp14:anchorId="4F205A42" wp14:editId="273369AC">
                  <wp:extent cx="1838325" cy="1876425"/>
                  <wp:effectExtent l="19050" t="0" r="9525" b="0"/>
                  <wp:docPr id="5" name="Picture 5" descr="Placemat NEW Four Patch R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cemat NEW Four Patch Rotated"/>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1838325" cy="1876425"/>
                          </a:xfrm>
                          <a:prstGeom prst="rect">
                            <a:avLst/>
                          </a:prstGeom>
                          <a:noFill/>
                          <a:ln w="9525">
                            <a:noFill/>
                            <a:miter lim="800000"/>
                            <a:headEnd/>
                            <a:tailEnd/>
                          </a:ln>
                        </pic:spPr>
                      </pic:pic>
                    </a:graphicData>
                  </a:graphic>
                </wp:inline>
              </w:drawing>
            </w:r>
          </w:p>
        </w:tc>
        <w:tc>
          <w:tcPr>
            <w:tcW w:w="5280" w:type="dxa"/>
            <w:gridSpan w:val="4"/>
            <w:hideMark/>
          </w:tcPr>
          <w:p w:rsidR="003E1DC1" w:rsidRDefault="007D612D">
            <w:pPr>
              <w:spacing w:after="120"/>
              <w:rPr>
                <w:b/>
                <w:sz w:val="20"/>
                <w:szCs w:val="20"/>
              </w:rPr>
            </w:pPr>
            <w:r>
              <w:rPr>
                <w:b/>
                <w:sz w:val="20"/>
                <w:szCs w:val="20"/>
              </w:rPr>
              <w:t xml:space="preserve">          </w:t>
            </w:r>
            <w:r>
              <w:rPr>
                <w:rFonts w:ascii="Arial Black" w:hAnsi="Arial Black"/>
                <w:color w:val="FF0000"/>
                <w:sz w:val="20"/>
                <w:szCs w:val="20"/>
                <w:u w:val="single"/>
              </w:rPr>
              <w:t>Juniors.</w:t>
            </w:r>
            <w:r>
              <w:rPr>
                <w:b/>
                <w:sz w:val="20"/>
                <w:szCs w:val="20"/>
              </w:rPr>
              <w:t xml:space="preserve">  Girl Scouts at the Junior level could scale back the placemat project to produce a sophisticated version of the four patch potholder.  This would be made from the standard placemat directions, using the quilting and binding techniques from the full Junior project.   A considerably reduction in the duration of the project would result, since four, rather than fifteen, squares would be used.</w:t>
            </w:r>
          </w:p>
          <w:p w:rsidR="003E1DC1" w:rsidRDefault="007D612D">
            <w:pPr>
              <w:spacing w:after="120"/>
              <w:rPr>
                <w:b/>
                <w:sz w:val="20"/>
                <w:szCs w:val="20"/>
              </w:rPr>
            </w:pPr>
            <w:r>
              <w:rPr>
                <w:b/>
                <w:sz w:val="20"/>
                <w:szCs w:val="20"/>
              </w:rPr>
              <w:t xml:space="preserve">          Juniors with some prior sewing experience, might be able to use a sewing machine to machine piece a placemat quilt top.</w:t>
            </w:r>
          </w:p>
        </w:tc>
      </w:tr>
      <w:tr w:rsidR="003E1DC1" w:rsidTr="00C92391">
        <w:trPr>
          <w:trHeight w:val="2880"/>
          <w:jc w:val="center"/>
        </w:trPr>
        <w:tc>
          <w:tcPr>
            <w:tcW w:w="11250" w:type="dxa"/>
            <w:gridSpan w:val="10"/>
            <w:hideMark/>
          </w:tcPr>
          <w:p w:rsidR="003E1DC1" w:rsidRDefault="007D612D">
            <w:pPr>
              <w:spacing w:before="120" w:after="120"/>
              <w:rPr>
                <w:rFonts w:ascii="Arial Black" w:hAnsi="Arial Black"/>
                <w:b/>
                <w:i/>
                <w:color w:val="FF0000"/>
              </w:rPr>
            </w:pPr>
            <w:r>
              <w:rPr>
                <w:rFonts w:ascii="Arial Black" w:hAnsi="Arial Black"/>
                <w:b/>
                <w:i/>
                <w:color w:val="FF0000"/>
              </w:rPr>
              <w:t>Going Beyond Badge Work</w:t>
            </w:r>
          </w:p>
          <w:p w:rsidR="003E1DC1" w:rsidRDefault="007D612D">
            <w:pPr>
              <w:spacing w:before="120" w:after="120"/>
              <w:rPr>
                <w:b/>
                <w:sz w:val="20"/>
                <w:szCs w:val="20"/>
              </w:rPr>
            </w:pPr>
            <w:r>
              <w:rPr>
                <w:b/>
                <w:sz w:val="20"/>
                <w:szCs w:val="20"/>
              </w:rPr>
              <w:t xml:space="preserve">          </w:t>
            </w:r>
            <w:r>
              <w:rPr>
                <w:rFonts w:ascii="Arial Black" w:hAnsi="Arial Black"/>
                <w:color w:val="FF0000"/>
                <w:sz w:val="20"/>
                <w:szCs w:val="20"/>
                <w:u w:val="single"/>
              </w:rPr>
              <w:t>Day Camp.</w:t>
            </w:r>
            <w:r>
              <w:rPr>
                <w:b/>
                <w:sz w:val="20"/>
                <w:szCs w:val="20"/>
              </w:rPr>
              <w:t xml:space="preserve">  The </w:t>
            </w:r>
            <w:r>
              <w:rPr>
                <w:rFonts w:ascii="Arial Black" w:hAnsi="Arial Black"/>
                <w:i/>
                <w:sz w:val="20"/>
                <w:szCs w:val="20"/>
              </w:rPr>
              <w:t>Quilt-It!</w:t>
            </w:r>
            <w:r>
              <w:rPr>
                <w:b/>
                <w:sz w:val="20"/>
                <w:szCs w:val="20"/>
              </w:rPr>
              <w:t xml:space="preserve">  potholder project provides an excellent activity for a Girl Scout Day Camp.  The modification suggested above would provide kits that allowed Brownies to handle the work in a reasonable period of time.  Older girls might start from the kits or, if enough time is available, they could complete the full potholder project.</w:t>
            </w:r>
          </w:p>
          <w:p w:rsidR="003E1DC1" w:rsidRDefault="007D612D">
            <w:pPr>
              <w:spacing w:before="120" w:after="120"/>
              <w:rPr>
                <w:b/>
                <w:sz w:val="20"/>
                <w:szCs w:val="20"/>
              </w:rPr>
            </w:pPr>
            <w:r>
              <w:rPr>
                <w:b/>
                <w:sz w:val="20"/>
                <w:szCs w:val="20"/>
              </w:rPr>
              <w:t xml:space="preserve">          </w:t>
            </w:r>
            <w:r>
              <w:rPr>
                <w:rFonts w:ascii="Arial Black" w:hAnsi="Arial Black"/>
                <w:color w:val="FF0000"/>
                <w:sz w:val="20"/>
                <w:szCs w:val="20"/>
                <w:u w:val="single"/>
              </w:rPr>
              <w:t>Mommy And Me.</w:t>
            </w:r>
            <w:r>
              <w:rPr>
                <w:b/>
                <w:sz w:val="20"/>
                <w:szCs w:val="20"/>
              </w:rPr>
              <w:t xml:space="preserve">  Experience with the quilting projects shows that </w:t>
            </w:r>
            <w:r>
              <w:rPr>
                <w:rFonts w:ascii="Arial Black" w:hAnsi="Arial Black"/>
                <w:i/>
                <w:sz w:val="20"/>
                <w:szCs w:val="20"/>
              </w:rPr>
              <w:t>Quilt-It!</w:t>
            </w:r>
            <w:r>
              <w:rPr>
                <w:b/>
                <w:sz w:val="20"/>
                <w:szCs w:val="20"/>
              </w:rPr>
              <w:t xml:space="preserve">   is an excellent program for Mommy And Me activities.  In this context, some prior training and practice for the mothers would be quite important.</w:t>
            </w:r>
          </w:p>
          <w:p w:rsidR="003E1DC1" w:rsidRDefault="007D612D">
            <w:pPr>
              <w:spacing w:before="120" w:after="120"/>
              <w:rPr>
                <w:b/>
                <w:sz w:val="20"/>
                <w:szCs w:val="20"/>
              </w:rPr>
            </w:pPr>
            <w:r>
              <w:rPr>
                <w:b/>
                <w:sz w:val="20"/>
                <w:szCs w:val="20"/>
              </w:rPr>
              <w:t xml:space="preserve">          </w:t>
            </w:r>
            <w:r>
              <w:rPr>
                <w:rFonts w:ascii="Arial Black" w:hAnsi="Arial Black"/>
                <w:color w:val="FF0000"/>
                <w:sz w:val="20"/>
                <w:szCs w:val="20"/>
                <w:u w:val="single"/>
              </w:rPr>
              <w:t>Service.</w:t>
            </w:r>
            <w:r>
              <w:rPr>
                <w:b/>
                <w:sz w:val="20"/>
                <w:szCs w:val="20"/>
              </w:rPr>
              <w:t xml:space="preserve">  Girl Scouts at the Junior and more advanced levels can find many opportunities for the use of quilting in service projects.  There is a great need for such items as lap quilts in assisted living facilities, and baby quilts that are given to needy families.  The production and presentation of such quilts provides an excellent activity for troop service.</w:t>
            </w:r>
          </w:p>
        </w:tc>
      </w:tr>
      <w:tr w:rsidR="003E1DC1" w:rsidTr="00C92391">
        <w:trPr>
          <w:jc w:val="center"/>
        </w:trPr>
        <w:tc>
          <w:tcPr>
            <w:tcW w:w="2580" w:type="dxa"/>
            <w:tcMar>
              <w:top w:w="144" w:type="dxa"/>
              <w:left w:w="115" w:type="dxa"/>
              <w:bottom w:w="0" w:type="dxa"/>
              <w:right w:w="115" w:type="dxa"/>
            </w:tcMar>
            <w:vAlign w:val="bottom"/>
            <w:hideMark/>
          </w:tcPr>
          <w:p w:rsidR="003E1DC1" w:rsidRDefault="00C92391">
            <w:pPr>
              <w:jc w:val="center"/>
              <w:rPr>
                <w:u w:val="single"/>
              </w:rPr>
            </w:pPr>
            <w:hyperlink r:id="rId19" w:history="1">
              <w:r w:rsidR="007D612D">
                <w:rPr>
                  <w:rStyle w:val="Hyperlink"/>
                  <w:szCs w:val="20"/>
                </w:rPr>
                <w:t>Back to Brownie page</w:t>
              </w:r>
            </w:hyperlink>
          </w:p>
        </w:tc>
        <w:tc>
          <w:tcPr>
            <w:tcW w:w="2760" w:type="dxa"/>
            <w:gridSpan w:val="3"/>
            <w:tcMar>
              <w:top w:w="144" w:type="dxa"/>
              <w:left w:w="115" w:type="dxa"/>
              <w:bottom w:w="0" w:type="dxa"/>
              <w:right w:w="115" w:type="dxa"/>
            </w:tcMar>
            <w:vAlign w:val="bottom"/>
            <w:hideMark/>
          </w:tcPr>
          <w:p w:rsidR="003E1DC1" w:rsidRDefault="00C92391">
            <w:pPr>
              <w:jc w:val="center"/>
              <w:rPr>
                <w:u w:val="single"/>
              </w:rPr>
            </w:pPr>
            <w:hyperlink r:id="rId20" w:history="1">
              <w:r w:rsidR="007D612D">
                <w:rPr>
                  <w:rStyle w:val="Hyperlink"/>
                  <w:szCs w:val="20"/>
                </w:rPr>
                <w:t>Back to Junior  page</w:t>
              </w:r>
            </w:hyperlink>
          </w:p>
        </w:tc>
        <w:tc>
          <w:tcPr>
            <w:tcW w:w="2640" w:type="dxa"/>
            <w:gridSpan w:val="4"/>
            <w:vAlign w:val="bottom"/>
            <w:hideMark/>
          </w:tcPr>
          <w:p w:rsidR="003E1DC1" w:rsidRDefault="00C92391">
            <w:pPr>
              <w:rPr>
                <w:u w:val="single"/>
              </w:rPr>
            </w:pPr>
            <w:hyperlink r:id="rId21" w:history="1">
              <w:r w:rsidR="007D612D">
                <w:rPr>
                  <w:rStyle w:val="Hyperlink"/>
                  <w:szCs w:val="20"/>
                </w:rPr>
                <w:t>Back to Cadette/Senior page</w:t>
              </w:r>
            </w:hyperlink>
          </w:p>
        </w:tc>
        <w:tc>
          <w:tcPr>
            <w:tcW w:w="3270" w:type="dxa"/>
            <w:gridSpan w:val="2"/>
            <w:tcMar>
              <w:top w:w="144" w:type="dxa"/>
              <w:left w:w="115" w:type="dxa"/>
              <w:bottom w:w="0" w:type="dxa"/>
              <w:right w:w="115" w:type="dxa"/>
            </w:tcMar>
            <w:vAlign w:val="bottom"/>
            <w:hideMark/>
          </w:tcPr>
          <w:p w:rsidR="003E1DC1" w:rsidRDefault="00C92391">
            <w:pPr>
              <w:jc w:val="center"/>
              <w:rPr>
                <w:sz w:val="20"/>
                <w:szCs w:val="20"/>
                <w:u w:val="single"/>
              </w:rPr>
            </w:pPr>
            <w:hyperlink r:id="rId22" w:history="1">
              <w:r w:rsidR="007D612D">
                <w:rPr>
                  <w:rStyle w:val="Hyperlink"/>
                  <w:szCs w:val="20"/>
                </w:rPr>
                <w:t xml:space="preserve">Back to </w:t>
              </w:r>
              <w:r w:rsidR="007D612D">
                <w:rPr>
                  <w:rStyle w:val="Hyperlink"/>
                  <w:rFonts w:ascii="Arial Black" w:hAnsi="Arial Black"/>
                  <w:b w:val="0"/>
                  <w:i/>
                  <w:szCs w:val="20"/>
                </w:rPr>
                <w:t>Quilt-It!</w:t>
              </w:r>
              <w:r w:rsidR="007D612D">
                <w:rPr>
                  <w:rStyle w:val="Hyperlink"/>
                  <w:b w:val="0"/>
                  <w:szCs w:val="20"/>
                </w:rPr>
                <w:t>  </w:t>
              </w:r>
              <w:r w:rsidR="007D612D">
                <w:rPr>
                  <w:rStyle w:val="Hyperlink"/>
                  <w:szCs w:val="20"/>
                </w:rPr>
                <w:t>home page</w:t>
              </w:r>
            </w:hyperlink>
          </w:p>
        </w:tc>
      </w:tr>
      <w:tr w:rsidR="003E1DC1" w:rsidTr="00C92391">
        <w:trPr>
          <w:jc w:val="center"/>
        </w:trPr>
        <w:tc>
          <w:tcPr>
            <w:tcW w:w="11250" w:type="dxa"/>
            <w:gridSpan w:val="10"/>
            <w:tcMar>
              <w:top w:w="144" w:type="dxa"/>
              <w:left w:w="115" w:type="dxa"/>
              <w:bottom w:w="0" w:type="dxa"/>
              <w:right w:w="115" w:type="dxa"/>
            </w:tcMar>
            <w:vAlign w:val="bottom"/>
            <w:hideMark/>
          </w:tcPr>
          <w:p w:rsidR="003E1DC1" w:rsidRDefault="007D612D">
            <w:pPr>
              <w:jc w:val="center"/>
              <w:rPr>
                <w:sz w:val="20"/>
                <w:szCs w:val="20"/>
                <w:u w:val="single"/>
              </w:rPr>
            </w:pPr>
            <w:r>
              <w:rPr>
                <w:b/>
                <w:color w:val="008000"/>
                <w:sz w:val="20"/>
                <w:szCs w:val="20"/>
              </w:rPr>
              <w:t xml:space="preserve">If there is no side bar menu, click on </w:t>
            </w:r>
            <w:hyperlink r:id="rId23" w:history="1">
              <w:r>
                <w:rPr>
                  <w:rStyle w:val="Hyperlink"/>
                  <w:szCs w:val="20"/>
                </w:rPr>
                <w:t xml:space="preserve">start </w:t>
              </w:r>
              <w:r>
                <w:rPr>
                  <w:rStyle w:val="Hyperlink"/>
                  <w:rFonts w:ascii="Arial Black" w:hAnsi="Arial Black"/>
                  <w:b w:val="0"/>
                  <w:i/>
                  <w:szCs w:val="20"/>
                </w:rPr>
                <w:t>Quilt-It!</w:t>
              </w:r>
            </w:hyperlink>
          </w:p>
        </w:tc>
      </w:tr>
      <w:tr w:rsidR="003E1DC1" w:rsidTr="00C92391">
        <w:trPr>
          <w:trHeight w:val="1089"/>
          <w:jc w:val="center"/>
        </w:trPr>
        <w:tc>
          <w:tcPr>
            <w:tcW w:w="7860" w:type="dxa"/>
            <w:gridSpan w:val="7"/>
            <w:tcMar>
              <w:top w:w="288" w:type="dxa"/>
              <w:left w:w="115" w:type="dxa"/>
              <w:bottom w:w="0" w:type="dxa"/>
              <w:right w:w="115" w:type="dxa"/>
            </w:tcMar>
            <w:hideMark/>
          </w:tcPr>
          <w:p w:rsidR="003E1DC1" w:rsidRDefault="007D612D">
            <w:pPr>
              <w:jc w:val="center"/>
              <w:rPr>
                <w:sz w:val="20"/>
                <w:szCs w:val="20"/>
              </w:rPr>
            </w:pPr>
            <w:r>
              <w:rPr>
                <w:sz w:val="20"/>
                <w:szCs w:val="20"/>
              </w:rPr>
              <w:t>Created by Sharon L. Thompson and Richard B. Thompson</w:t>
            </w:r>
          </w:p>
          <w:p w:rsidR="003E1DC1" w:rsidRDefault="007D612D">
            <w:pPr>
              <w:jc w:val="center"/>
              <w:rPr>
                <w:b/>
                <w:i/>
                <w:sz w:val="20"/>
                <w:szCs w:val="20"/>
              </w:rPr>
            </w:pPr>
            <w:r>
              <w:rPr>
                <w:b/>
                <w:i/>
                <w:sz w:val="20"/>
                <w:szCs w:val="20"/>
              </w:rPr>
              <w:t>Tucson Quilters Guild</w:t>
            </w:r>
          </w:p>
          <w:p w:rsidR="003E1DC1" w:rsidRDefault="007D612D">
            <w:pPr>
              <w:jc w:val="center"/>
              <w:rPr>
                <w:b/>
                <w:i/>
                <w:sz w:val="20"/>
                <w:szCs w:val="20"/>
              </w:rPr>
            </w:pPr>
            <w:r>
              <w:rPr>
                <w:sz w:val="20"/>
                <w:szCs w:val="20"/>
              </w:rPr>
              <w:t xml:space="preserve">For the </w:t>
            </w:r>
            <w:r>
              <w:rPr>
                <w:b/>
                <w:i/>
                <w:sz w:val="20"/>
                <w:szCs w:val="20"/>
              </w:rPr>
              <w:t>Sahuaro Girl Scout Council</w:t>
            </w:r>
          </w:p>
          <w:p w:rsidR="003E1DC1" w:rsidRDefault="003E1DC1" w:rsidP="004332E9">
            <w:pPr>
              <w:jc w:val="center"/>
              <w:rPr>
                <w:b/>
                <w:i/>
                <w:sz w:val="20"/>
                <w:szCs w:val="20"/>
              </w:rPr>
            </w:pPr>
          </w:p>
        </w:tc>
        <w:tc>
          <w:tcPr>
            <w:tcW w:w="3390" w:type="dxa"/>
            <w:gridSpan w:val="3"/>
            <w:vAlign w:val="center"/>
            <w:hideMark/>
          </w:tcPr>
          <w:p w:rsidR="003E1DC1" w:rsidRDefault="007D612D">
            <w:pPr>
              <w:spacing w:after="120"/>
              <w:jc w:val="center"/>
              <w:rPr>
                <w:b/>
                <w:color w:val="000000"/>
                <w:sz w:val="20"/>
                <w:szCs w:val="20"/>
              </w:rPr>
            </w:pPr>
            <w:r>
              <w:rPr>
                <w:b/>
                <w:color w:val="000000"/>
                <w:sz w:val="20"/>
                <w:szCs w:val="20"/>
              </w:rPr>
              <w:t>Download printer friendly version of page:</w:t>
            </w:r>
          </w:p>
          <w:p w:rsidR="003E1DC1" w:rsidRDefault="00C92391">
            <w:pPr>
              <w:jc w:val="center"/>
              <w:rPr>
                <w:sz w:val="20"/>
                <w:szCs w:val="20"/>
              </w:rPr>
            </w:pPr>
            <w:hyperlink r:id="rId24" w:history="1">
              <w:r w:rsidR="007D612D">
                <w:rPr>
                  <w:rStyle w:val="Hyperlink"/>
                  <w:szCs w:val="20"/>
                </w:rPr>
                <w:t>Word</w:t>
              </w:r>
            </w:hyperlink>
            <w:r w:rsidR="007D612D">
              <w:rPr>
                <w:b/>
                <w:color w:val="000000"/>
                <w:sz w:val="20"/>
                <w:szCs w:val="20"/>
              </w:rPr>
              <w:t xml:space="preserve">          </w:t>
            </w:r>
            <w:hyperlink r:id="rId25" w:history="1">
              <w:proofErr w:type="spellStart"/>
              <w:r w:rsidR="007D612D">
                <w:rPr>
                  <w:rStyle w:val="Hyperlink"/>
                  <w:szCs w:val="20"/>
                </w:rPr>
                <w:t>pdf</w:t>
              </w:r>
              <w:proofErr w:type="spellEnd"/>
            </w:hyperlink>
          </w:p>
        </w:tc>
      </w:tr>
    </w:tbl>
    <w:p w:rsidR="003E1DC1" w:rsidRDefault="003E1DC1"/>
    <w:sectPr w:rsidR="003E1DC1">
      <w:pgSz w:w="12240" w:h="15840"/>
      <w:pgMar w:top="1152"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7E"/>
    <w:rsid w:val="003E1DC1"/>
    <w:rsid w:val="004332E9"/>
    <w:rsid w:val="00440F6C"/>
    <w:rsid w:val="00577E7E"/>
    <w:rsid w:val="007D612D"/>
    <w:rsid w:val="00C9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e2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hint="default"/>
      <w:b/>
      <w:bCs w:val="0"/>
      <w:color w:val="008000"/>
      <w:sz w:val="20"/>
      <w:u w:val="single"/>
    </w:rPr>
  </w:style>
  <w:style w:type="character" w:styleId="FollowedHyperlink">
    <w:name w:val="FollowedHyperlink"/>
    <w:basedOn w:val="DefaultParagraphFont"/>
    <w:rPr>
      <w:rFonts w:ascii="Times New Roman" w:hAnsi="Times New Roman" w:cs="Times New Roman" w:hint="default"/>
      <w:b/>
      <w:bCs w:val="0"/>
      <w:color w:val="008000"/>
      <w:sz w:val="2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hint="default"/>
      <w:b/>
      <w:bCs w:val="0"/>
      <w:color w:val="008000"/>
      <w:sz w:val="20"/>
      <w:u w:val="single"/>
    </w:rPr>
  </w:style>
  <w:style w:type="character" w:styleId="FollowedHyperlink">
    <w:name w:val="FollowedHyperlink"/>
    <w:basedOn w:val="DefaultParagraphFont"/>
    <w:rPr>
      <w:rFonts w:ascii="Times New Roman" w:hAnsi="Times New Roman" w:cs="Times New Roman" w:hint="default"/>
      <w:b/>
      <w:bCs w:val="0"/>
      <w:color w:val="008000"/>
      <w:sz w:val="2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S_Quilt_Home.htm" TargetMode="External"/><Relationship Id="rId13" Type="http://schemas.openxmlformats.org/officeDocument/2006/relationships/hyperlink" Target="http://www.womenfolk.com/historyofquilts"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adetteSenior.htm" TargetMode="External"/><Relationship Id="rId7" Type="http://schemas.openxmlformats.org/officeDocument/2006/relationships/hyperlink" Target="Intro.htm" TargetMode="External"/><Relationship Id="rId12" Type="http://schemas.openxmlformats.org/officeDocument/2006/relationships/hyperlink" Target="http://tucsonquiltersguild.com/" TargetMode="External"/><Relationship Id="rId17" Type="http://schemas.openxmlformats.org/officeDocument/2006/relationships/image" Target="media/image4.jpeg"/><Relationship Id="rId25" Type="http://schemas.openxmlformats.org/officeDocument/2006/relationships/hyperlink" Target="SupportPrinter.pdf" TargetMode="External"/><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Junior.htm" TargetMode="External"/><Relationship Id="rId1" Type="http://schemas.openxmlformats.org/officeDocument/2006/relationships/styles" Target="styles.xml"/><Relationship Id="rId6" Type="http://schemas.openxmlformats.org/officeDocument/2006/relationships/hyperlink" Target="CadetteSenior.htm" TargetMode="External"/><Relationship Id="rId11" Type="http://schemas.openxmlformats.org/officeDocument/2006/relationships/hyperlink" Target="http://www.quiltguilds.com/" TargetMode="External"/><Relationship Id="rId24" Type="http://schemas.openxmlformats.org/officeDocument/2006/relationships/hyperlink" Target="SupportPrinter.docx" TargetMode="External"/><Relationship Id="rId5" Type="http://schemas.openxmlformats.org/officeDocument/2006/relationships/hyperlink" Target="Junior.htm" TargetMode="External"/><Relationship Id="rId15" Type="http://schemas.openxmlformats.org/officeDocument/2006/relationships/image" Target="media/image2.jpeg"/><Relationship Id="rId23" Type="http://schemas.openxmlformats.org/officeDocument/2006/relationships/hyperlink" Target="GS_Quilt_Home.htm" TargetMode="External"/><Relationship Id="rId10" Type="http://schemas.openxmlformats.org/officeDocument/2006/relationships/hyperlink" Target="http://www.sahuarogsc.org/" TargetMode="External"/><Relationship Id="rId19" Type="http://schemas.openxmlformats.org/officeDocument/2006/relationships/hyperlink" Target="Brownie.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ycoupons.com/store/a-guide-for-quilting-fanatics-resources-and-more" TargetMode="External"/><Relationship Id="rId22" Type="http://schemas.openxmlformats.org/officeDocument/2006/relationships/hyperlink" Target="Intro.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QUILT-IT</vt:lpstr>
    </vt:vector>
  </TitlesOfParts>
  <Company>Microsoft</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QUILT-IT</dc:title>
  <dc:creator>Richard B. Thompson</dc:creator>
  <cp:lastModifiedBy>Thompson</cp:lastModifiedBy>
  <cp:revision>2</cp:revision>
  <dcterms:created xsi:type="dcterms:W3CDTF">2012-03-20T05:49:00Z</dcterms:created>
  <dcterms:modified xsi:type="dcterms:W3CDTF">2012-03-20T05:49:00Z</dcterms:modified>
</cp:coreProperties>
</file>